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0E82" w14:textId="77777777" w:rsidR="001E14AF" w:rsidRPr="0000392B" w:rsidRDefault="001E14AF" w:rsidP="0029415B">
      <w:pPr>
        <w:pStyle w:val="Citao"/>
        <w:jc w:val="center"/>
        <w:rPr>
          <w:rFonts w:cs="Arial"/>
        </w:rPr>
      </w:pPr>
      <w:r w:rsidRPr="0000392B">
        <w:rPr>
          <w:rFonts w:cs="Arial"/>
        </w:rPr>
        <w:t>NOTAS EXPLICATIVAS</w:t>
      </w:r>
    </w:p>
    <w:p w14:paraId="1A370E83" w14:textId="77777777" w:rsidR="001E14AF" w:rsidRPr="0000392B"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77777777"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p>
    <w:p w14:paraId="091CCC61" w14:textId="51CD7903" w:rsidR="00A44A1A" w:rsidRPr="002C7035" w:rsidRDefault="00A44A1A" w:rsidP="00A44A1A">
      <w:pPr>
        <w:pStyle w:val="Citao"/>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w:t>
      </w:r>
      <w:r w:rsidR="00876051" w:rsidRPr="002C7035">
        <w:rPr>
          <w:rFonts w:cs="Arial"/>
          <w:color w:val="000000" w:themeColor="text1"/>
        </w:rPr>
        <w:t xml:space="preserve">em </w:t>
      </w:r>
      <w:r w:rsidR="00876051" w:rsidRPr="00876051">
        <w:rPr>
          <w:rFonts w:cs="Arial"/>
          <w:color w:val="FF0000"/>
        </w:rPr>
        <w:t>vermelho</w:t>
      </w:r>
      <w:r w:rsidRPr="002C7035">
        <w:rPr>
          <w:rFonts w:cs="Arial"/>
        </w:rPr>
        <w:t xml:space="preserve">, devendo ser </w:t>
      </w:r>
      <w:r w:rsidRPr="002C7035">
        <w:rPr>
          <w:rFonts w:cs="Arial"/>
          <w:color w:val="000000" w:themeColor="text1"/>
        </w:rPr>
        <w:t>removidas ou mantidas em cada caso</w:t>
      </w:r>
      <w:r w:rsidR="00876051" w:rsidRPr="002C7035">
        <w:rPr>
          <w:rFonts w:cs="Arial"/>
          <w:color w:val="000000" w:themeColor="text1"/>
        </w:rPr>
        <w:t>, devendo ser consideradas individualmente</w:t>
      </w:r>
    </w:p>
    <w:p w14:paraId="1A370E88" w14:textId="513143F3" w:rsidR="00821B3A" w:rsidRDefault="00A44A1A" w:rsidP="00A44A1A">
      <w:pPr>
        <w:pStyle w:val="GradeColorida-nfase11"/>
        <w:rPr>
          <w:rFonts w:cs="Arial"/>
          <w:szCs w:val="20"/>
          <w:lang w:val="pt-BR"/>
        </w:rPr>
      </w:pPr>
      <w:r w:rsidRPr="002C7035">
        <w:rPr>
          <w:rFonts w:cs="Arial"/>
          <w:color w:val="000000" w:themeColor="text1"/>
        </w:rPr>
        <w:t xml:space="preserve">As demais cláusulas facultativas </w:t>
      </w:r>
    </w:p>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5AC35780" w14:textId="77777777" w:rsidR="00876051" w:rsidRDefault="001E14AF" w:rsidP="007F4C69">
      <w:pPr>
        <w:jc w:val="center"/>
        <w:rPr>
          <w:rFonts w:cs="Arial"/>
          <w:b/>
          <w:bCs/>
          <w:color w:val="000000"/>
          <w:szCs w:val="20"/>
        </w:rPr>
      </w:pPr>
      <w:r w:rsidRPr="0000392B">
        <w:rPr>
          <w:rFonts w:cs="Arial"/>
          <w:b/>
          <w:bCs/>
          <w:color w:val="000000"/>
          <w:szCs w:val="20"/>
        </w:rPr>
        <w:t>MODELO DE</w:t>
      </w:r>
    </w:p>
    <w:p w14:paraId="1A370E8C" w14:textId="4E3823D4" w:rsidR="001E14AF" w:rsidRPr="00876051" w:rsidRDefault="001E14AF" w:rsidP="007F4C69">
      <w:pPr>
        <w:jc w:val="center"/>
        <w:rPr>
          <w:rFonts w:cs="Arial"/>
          <w:b/>
          <w:bCs/>
          <w:color w:val="000000"/>
          <w:sz w:val="32"/>
          <w:szCs w:val="20"/>
        </w:rPr>
      </w:pPr>
      <w:r w:rsidRPr="00876051">
        <w:rPr>
          <w:rFonts w:cs="Arial"/>
          <w:b/>
          <w:bCs/>
          <w:color w:val="000000"/>
          <w:sz w:val="32"/>
          <w:szCs w:val="20"/>
        </w:rPr>
        <w:t>TERMO DE REFERÊNCIA</w:t>
      </w:r>
    </w:p>
    <w:p w14:paraId="1F07BE6C" w14:textId="77777777" w:rsidR="00876051" w:rsidRDefault="00876051" w:rsidP="007F4C69">
      <w:pPr>
        <w:jc w:val="center"/>
        <w:rPr>
          <w:rFonts w:cs="Arial"/>
          <w:b/>
          <w:bCs/>
          <w:color w:val="000000"/>
          <w:szCs w:val="20"/>
        </w:rPr>
      </w:pPr>
    </w:p>
    <w:p w14:paraId="1A370E8D" w14:textId="140B059D" w:rsidR="00925D03" w:rsidRPr="0000392B" w:rsidRDefault="00876051" w:rsidP="007F4C69">
      <w:pPr>
        <w:jc w:val="center"/>
        <w:rPr>
          <w:rFonts w:cs="Arial"/>
          <w:b/>
          <w:bCs/>
          <w:color w:val="000000"/>
          <w:szCs w:val="20"/>
        </w:rPr>
      </w:pPr>
      <w:r>
        <w:rPr>
          <w:rFonts w:cs="Arial"/>
          <w:b/>
          <w:bCs/>
          <w:color w:val="000000"/>
          <w:szCs w:val="20"/>
        </w:rPr>
        <w:t>PREGÃO PRESENCIAL</w:t>
      </w:r>
      <w:r w:rsidR="00473A3D" w:rsidRPr="0000392B">
        <w:rPr>
          <w:rFonts w:cs="Arial"/>
          <w:b/>
          <w:bCs/>
          <w:color w:val="000000"/>
          <w:szCs w:val="20"/>
        </w:rPr>
        <w:t xml:space="preserve">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1A370E90" w14:textId="366A3B1F" w:rsidR="001E14AF" w:rsidRPr="00876051" w:rsidRDefault="00876051" w:rsidP="00453B1D">
      <w:pPr>
        <w:spacing w:line="276" w:lineRule="auto"/>
        <w:jc w:val="center"/>
        <w:rPr>
          <w:rFonts w:cs="Arial"/>
          <w:b/>
          <w:bCs/>
          <w:sz w:val="24"/>
          <w:szCs w:val="20"/>
        </w:rPr>
      </w:pPr>
      <w:r w:rsidRPr="00876051">
        <w:rPr>
          <w:rFonts w:cs="Arial"/>
          <w:b/>
          <w:bCs/>
          <w:sz w:val="24"/>
          <w:szCs w:val="20"/>
        </w:rPr>
        <w:t>Instituto Federal de Educação, Ciência e Tecnologia de São Paulo</w:t>
      </w:r>
    </w:p>
    <w:p w14:paraId="448715BD" w14:textId="77777777" w:rsidR="00876051" w:rsidRDefault="00876051" w:rsidP="00453B1D">
      <w:pPr>
        <w:spacing w:line="276" w:lineRule="auto"/>
        <w:jc w:val="center"/>
        <w:rPr>
          <w:rFonts w:cs="Arial"/>
          <w:b/>
          <w:bCs/>
          <w:color w:val="000000"/>
          <w:szCs w:val="20"/>
        </w:rPr>
      </w:pPr>
    </w:p>
    <w:p w14:paraId="1A370E91" w14:textId="017882A2" w:rsidR="001E14AF" w:rsidRPr="0000392B" w:rsidRDefault="00876051" w:rsidP="00453B1D">
      <w:pPr>
        <w:spacing w:line="276" w:lineRule="auto"/>
        <w:jc w:val="center"/>
        <w:rPr>
          <w:rFonts w:cs="Arial"/>
          <w:b/>
          <w:bCs/>
          <w:color w:val="000000"/>
          <w:szCs w:val="20"/>
        </w:rPr>
      </w:pPr>
      <w:r>
        <w:rPr>
          <w:rFonts w:cs="Arial"/>
          <w:b/>
          <w:bCs/>
          <w:color w:val="000000"/>
          <w:szCs w:val="20"/>
        </w:rPr>
        <w:t>PREGÃO Nº ....../2019</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2D17B11C" w:rsidR="001E14AF" w:rsidRDefault="001E14AF" w:rsidP="00DE7070">
      <w:pPr>
        <w:pStyle w:val="Nivel1"/>
      </w:pPr>
      <w:r w:rsidRPr="0000392B">
        <w:t>DO OBJETO</w:t>
      </w:r>
    </w:p>
    <w:p w14:paraId="00F24E60" w14:textId="77777777" w:rsidR="00876051" w:rsidRPr="00876051" w:rsidRDefault="00876051" w:rsidP="00876051"/>
    <w:p w14:paraId="1A370E98" w14:textId="0F74CF7A" w:rsidR="001E14AF" w:rsidRPr="00876051" w:rsidRDefault="001E14AF" w:rsidP="0029415B">
      <w:pPr>
        <w:numPr>
          <w:ilvl w:val="1"/>
          <w:numId w:val="1"/>
        </w:numPr>
        <w:spacing w:before="120" w:after="120" w:line="276" w:lineRule="auto"/>
        <w:ind w:left="425" w:firstLine="0"/>
        <w:jc w:val="both"/>
        <w:rPr>
          <w:rFonts w:cs="Arial"/>
          <w:b/>
          <w:szCs w:val="20"/>
        </w:rPr>
      </w:pPr>
      <w:r w:rsidRPr="002A5649">
        <w:rPr>
          <w:rFonts w:cs="Arial"/>
          <w:szCs w:val="20"/>
        </w:rPr>
        <w:t>Aquisição de</w:t>
      </w:r>
      <w:r w:rsidR="002A5649">
        <w:rPr>
          <w:rFonts w:cs="Arial"/>
          <w:i/>
          <w:color w:val="FF0000"/>
          <w:szCs w:val="20"/>
        </w:rPr>
        <w:t xml:space="preserve"> </w:t>
      </w:r>
      <w:r w:rsidR="002A5649" w:rsidRPr="002A5649">
        <w:rPr>
          <w:rFonts w:cs="Arial"/>
          <w:szCs w:val="20"/>
        </w:rPr>
        <w:t>material de consumo para o Projeto de Extensão</w:t>
      </w:r>
      <w:r w:rsidR="002A5649">
        <w:rPr>
          <w:rFonts w:cs="Arial"/>
          <w:b/>
          <w:szCs w:val="20"/>
        </w:rPr>
        <w:t xml:space="preserve"> </w:t>
      </w:r>
      <w:proofErr w:type="spellStart"/>
      <w:r w:rsidR="002A5649" w:rsidRPr="002A5649">
        <w:rPr>
          <w:rFonts w:cs="Arial"/>
          <w:b/>
          <w:i/>
          <w:color w:val="FF0000"/>
          <w:szCs w:val="20"/>
        </w:rPr>
        <w:t>xxxxxxxxxxxxxxxxxxx</w:t>
      </w:r>
      <w:proofErr w:type="spellEnd"/>
      <w:r w:rsidRPr="00876051">
        <w:rPr>
          <w:rFonts w:cs="Arial"/>
          <w:b/>
          <w:szCs w:val="20"/>
        </w:rPr>
        <w:t>,</w:t>
      </w:r>
      <w:r w:rsidRPr="00876051">
        <w:rPr>
          <w:rFonts w:cs="Arial"/>
          <w:szCs w:val="20"/>
        </w:rPr>
        <w:t xml:space="preserve"> </w:t>
      </w:r>
      <w:r w:rsidR="00CF3372">
        <w:rPr>
          <w:rFonts w:cs="Arial"/>
          <w:szCs w:val="20"/>
        </w:rPr>
        <w:t xml:space="preserve">aprovado pelo Edital SPO 67/2018, </w:t>
      </w:r>
      <w:r w:rsidRPr="00876051">
        <w:rPr>
          <w:rFonts w:cs="Arial"/>
          <w:szCs w:val="20"/>
        </w:rPr>
        <w:t>conforme condições, quantidades e exigências estabelecidas neste instrumento:</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gridCol w:w="1134"/>
      </w:tblGrid>
      <w:tr w:rsidR="003F59FC" w:rsidRPr="0000392B" w14:paraId="1A370EA5" w14:textId="77777777" w:rsidTr="00CB54CD">
        <w:tc>
          <w:tcPr>
            <w:tcW w:w="709" w:type="dxa"/>
          </w:tcPr>
          <w:p w14:paraId="1A370E99" w14:textId="77777777"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14:paraId="1A370E9A" w14:textId="77777777" w:rsidR="003F59FC" w:rsidRPr="0000392B" w:rsidRDefault="003F59FC" w:rsidP="0057203C">
            <w:pPr>
              <w:widowControl w:val="0"/>
              <w:suppressAutoHyphens/>
              <w:jc w:val="center"/>
              <w:rPr>
                <w:rFonts w:cs="Arial"/>
                <w:b/>
                <w:color w:val="000000"/>
                <w:sz w:val="14"/>
                <w:szCs w:val="14"/>
              </w:rPr>
            </w:pPr>
          </w:p>
        </w:tc>
        <w:tc>
          <w:tcPr>
            <w:tcW w:w="1559" w:type="dxa"/>
          </w:tcPr>
          <w:p w14:paraId="1A370E9B" w14:textId="77777777"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14:paraId="1A370E9C"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560" w:type="dxa"/>
          </w:tcPr>
          <w:p w14:paraId="1A370E9D"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tcPr>
          <w:p w14:paraId="1A370E9E"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417" w:type="dxa"/>
          </w:tcPr>
          <w:p w14:paraId="1A370E9F"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418" w:type="dxa"/>
          </w:tcPr>
          <w:p w14:paraId="1A370EA0" w14:textId="77777777" w:rsidR="003F59FC" w:rsidRPr="006F5AA1" w:rsidRDefault="003F59FC" w:rsidP="0057203C">
            <w:pPr>
              <w:widowControl w:val="0"/>
              <w:suppressAutoHyphens/>
              <w:jc w:val="center"/>
              <w:rPr>
                <w:rFonts w:cs="Arial"/>
                <w:b/>
                <w:color w:val="000000"/>
                <w:sz w:val="14"/>
                <w:szCs w:val="14"/>
              </w:rPr>
            </w:pPr>
            <w:r w:rsidRPr="006F5AA1">
              <w:rPr>
                <w:rFonts w:cs="Arial"/>
                <w:b/>
                <w:color w:val="000000"/>
                <w:sz w:val="14"/>
                <w:szCs w:val="14"/>
              </w:rPr>
              <w:t>VALOR</w:t>
            </w:r>
          </w:p>
          <w:p w14:paraId="1A370EA1" w14:textId="77777777" w:rsidR="003F59FC" w:rsidRPr="006F5AA1" w:rsidRDefault="003F59FC" w:rsidP="0057203C">
            <w:pPr>
              <w:widowControl w:val="0"/>
              <w:suppressAutoHyphens/>
              <w:jc w:val="center"/>
              <w:rPr>
                <w:rFonts w:cs="Arial"/>
                <w:b/>
                <w:color w:val="000000"/>
                <w:sz w:val="14"/>
                <w:szCs w:val="14"/>
              </w:rPr>
            </w:pPr>
            <w:r w:rsidRPr="006F5AA1">
              <w:rPr>
                <w:rFonts w:cs="Arial"/>
                <w:b/>
                <w:color w:val="000000"/>
                <w:sz w:val="14"/>
                <w:szCs w:val="14"/>
              </w:rPr>
              <w:t>MÁXIMO</w:t>
            </w:r>
          </w:p>
          <w:p w14:paraId="1A370EA2" w14:textId="77777777" w:rsidR="003F59FC" w:rsidRPr="006F5AA1" w:rsidRDefault="003F59FC" w:rsidP="0057203C">
            <w:pPr>
              <w:widowControl w:val="0"/>
              <w:suppressAutoHyphens/>
              <w:jc w:val="center"/>
              <w:rPr>
                <w:rFonts w:cs="Arial"/>
                <w:color w:val="000000"/>
                <w:sz w:val="14"/>
                <w:szCs w:val="14"/>
              </w:rPr>
            </w:pPr>
            <w:r w:rsidRPr="006F5AA1">
              <w:rPr>
                <w:rFonts w:cs="Arial"/>
                <w:b/>
                <w:color w:val="000000"/>
                <w:sz w:val="14"/>
                <w:szCs w:val="14"/>
              </w:rPr>
              <w:t>ACEITÁVEL</w:t>
            </w:r>
          </w:p>
        </w:tc>
        <w:tc>
          <w:tcPr>
            <w:tcW w:w="1134" w:type="dxa"/>
          </w:tcPr>
          <w:p w14:paraId="1A370EA3" w14:textId="77777777"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14:paraId="1A370EA4" w14:textId="77777777" w:rsidR="003F59FC" w:rsidRPr="0000392B" w:rsidRDefault="003F59FC" w:rsidP="0057203C">
            <w:pPr>
              <w:widowControl w:val="0"/>
              <w:suppressAutoHyphens/>
              <w:jc w:val="center"/>
              <w:rPr>
                <w:rFonts w:cs="Arial"/>
                <w:b/>
                <w:bCs/>
                <w:i/>
                <w:sz w:val="14"/>
                <w:szCs w:val="14"/>
              </w:rPr>
            </w:pPr>
          </w:p>
        </w:tc>
      </w:tr>
      <w:tr w:rsidR="003F59FC" w:rsidRPr="0000392B" w14:paraId="1A370EAE" w14:textId="77777777" w:rsidTr="00CB54CD">
        <w:tc>
          <w:tcPr>
            <w:tcW w:w="709" w:type="dxa"/>
          </w:tcPr>
          <w:p w14:paraId="1A370EA6"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1559" w:type="dxa"/>
          </w:tcPr>
          <w:p w14:paraId="1A370EA7"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A8"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A9"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AA"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AB"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AC" w14:textId="77777777"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14:paraId="1A370EAD" w14:textId="77777777" w:rsidR="003F59FC" w:rsidRPr="0000392B" w:rsidRDefault="003F59FC" w:rsidP="003F59FC">
            <w:pPr>
              <w:widowControl w:val="0"/>
              <w:suppressAutoHyphens/>
              <w:spacing w:after="120" w:line="276" w:lineRule="auto"/>
              <w:jc w:val="center"/>
              <w:rPr>
                <w:rFonts w:cs="Arial"/>
                <w:color w:val="000000"/>
                <w:sz w:val="16"/>
                <w:szCs w:val="16"/>
              </w:rPr>
            </w:pPr>
            <w:r w:rsidRPr="0000392B">
              <w:rPr>
                <w:rFonts w:cs="Arial"/>
                <w:b/>
                <w:bCs/>
                <w:i/>
                <w:color w:val="FF0000"/>
                <w:sz w:val="14"/>
                <w:szCs w:val="14"/>
              </w:rPr>
              <w:t>....%</w:t>
            </w:r>
          </w:p>
        </w:tc>
      </w:tr>
      <w:tr w:rsidR="003F59FC" w:rsidRPr="0000392B" w14:paraId="1A370EB6" w14:textId="77777777" w:rsidTr="00CB54CD">
        <w:tc>
          <w:tcPr>
            <w:tcW w:w="709" w:type="dxa"/>
          </w:tcPr>
          <w:p w14:paraId="1A370EAF"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2</w:t>
            </w:r>
          </w:p>
        </w:tc>
        <w:tc>
          <w:tcPr>
            <w:tcW w:w="1559" w:type="dxa"/>
          </w:tcPr>
          <w:p w14:paraId="1A370EB0"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B1"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2"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B3"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B4"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5" w14:textId="77777777"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14:paraId="1A370EBE" w14:textId="77777777" w:rsidTr="00CB54CD">
        <w:tc>
          <w:tcPr>
            <w:tcW w:w="709" w:type="dxa"/>
          </w:tcPr>
          <w:p w14:paraId="1A370EB7"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3</w:t>
            </w:r>
          </w:p>
        </w:tc>
        <w:tc>
          <w:tcPr>
            <w:tcW w:w="1559" w:type="dxa"/>
          </w:tcPr>
          <w:p w14:paraId="1A370EB8"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B9"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A"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BB"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BC"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D" w14:textId="77777777"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14:paraId="1A370EC6" w14:textId="77777777" w:rsidTr="00CB54CD">
        <w:tc>
          <w:tcPr>
            <w:tcW w:w="709" w:type="dxa"/>
          </w:tcPr>
          <w:p w14:paraId="1A370EBF"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w:t>
            </w:r>
          </w:p>
        </w:tc>
        <w:tc>
          <w:tcPr>
            <w:tcW w:w="1559" w:type="dxa"/>
          </w:tcPr>
          <w:p w14:paraId="1A370EC0"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C1"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C2"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C3"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C4"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C5" w14:textId="77777777" w:rsidR="003F59FC" w:rsidRPr="0000392B" w:rsidRDefault="003F59FC" w:rsidP="0029415B">
            <w:pPr>
              <w:widowControl w:val="0"/>
              <w:suppressAutoHyphens/>
              <w:spacing w:after="120" w:line="276" w:lineRule="auto"/>
              <w:rPr>
                <w:rFonts w:cs="Arial"/>
                <w:color w:val="000000"/>
                <w:sz w:val="16"/>
                <w:szCs w:val="16"/>
              </w:rPr>
            </w:pPr>
          </w:p>
        </w:tc>
      </w:tr>
    </w:tbl>
    <w:p w14:paraId="25050A2B" w14:textId="77777777" w:rsidR="000B1AC5" w:rsidRDefault="000B1AC5" w:rsidP="0029415B">
      <w:pPr>
        <w:autoSpaceDE w:val="0"/>
        <w:spacing w:after="120" w:line="276" w:lineRule="auto"/>
        <w:jc w:val="both"/>
        <w:rPr>
          <w:rFonts w:cs="Arial"/>
          <w:b/>
          <w:color w:val="000000"/>
          <w:szCs w:val="20"/>
        </w:rPr>
      </w:pPr>
    </w:p>
    <w:p w14:paraId="4D63CA51" w14:textId="77777777" w:rsidR="000B1AC5" w:rsidRPr="000B1AC5" w:rsidRDefault="000B1AC5" w:rsidP="0029415B">
      <w:pPr>
        <w:autoSpaceDE w:val="0"/>
        <w:spacing w:after="120" w:line="276" w:lineRule="auto"/>
        <w:jc w:val="both"/>
        <w:rPr>
          <w:rFonts w:cs="Arial"/>
          <w:b/>
          <w:color w:val="000000"/>
          <w:szCs w:val="20"/>
          <w:lang w:val="x-none"/>
        </w:rPr>
      </w:pPr>
    </w:p>
    <w:p w14:paraId="5CF43062" w14:textId="7AF866DD"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lastRenderedPageBreak/>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14:paraId="78D79E23" w14:textId="28AACBD3"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14:paraId="3B5A1230" w14:textId="174189E1"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w:t>
      </w:r>
      <w:proofErr w:type="gramStart"/>
      <w:r w:rsidRPr="00413DFC">
        <w:rPr>
          <w:rFonts w:cs="Arial"/>
          <w:bCs/>
          <w:iCs/>
          <w:color w:val="000000"/>
          <w:szCs w:val="20"/>
        </w:rPr>
        <w:t>do(</w:t>
      </w:r>
      <w:proofErr w:type="gramEnd"/>
      <w:r w:rsidRPr="00413DFC">
        <w:rPr>
          <w:rFonts w:cs="Arial"/>
          <w:bCs/>
          <w:iCs/>
          <w:color w:val="000000"/>
          <w:szCs w:val="20"/>
        </w:rPr>
        <w:t xml:space="preserve">a) </w:t>
      </w:r>
      <w:r w:rsidRPr="00413DFC">
        <w:rPr>
          <w:rFonts w:cs="Arial"/>
          <w:bCs/>
          <w:iCs/>
          <w:color w:val="FF0000"/>
          <w:szCs w:val="20"/>
        </w:rPr>
        <w:t xml:space="preserve">............................. </w:t>
      </w:r>
      <w:proofErr w:type="gramStart"/>
      <w:r w:rsidRPr="00413DFC">
        <w:rPr>
          <w:rFonts w:cs="Arial"/>
          <w:bCs/>
          <w:iCs/>
          <w:color w:val="000000"/>
          <w:szCs w:val="20"/>
        </w:rPr>
        <w:t>prorrogável</w:t>
      </w:r>
      <w:proofErr w:type="gramEnd"/>
      <w:r w:rsidRPr="00413DFC">
        <w:rPr>
          <w:rFonts w:cs="Arial"/>
          <w:bCs/>
          <w:iCs/>
          <w:color w:val="000000"/>
          <w:szCs w:val="20"/>
        </w:rPr>
        <w:t xml:space="preserve"> na forma do art. 57, § 1°, da Lei n° 8.666/93.</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Default="001E14AF" w:rsidP="00723039">
      <w:pPr>
        <w:pStyle w:val="Citao"/>
        <w:rPr>
          <w:rFonts w:cs="Arial"/>
        </w:rPr>
      </w:pPr>
      <w:r w:rsidRPr="0000392B">
        <w:rPr>
          <w:rFonts w:cs="Arial"/>
        </w:rPr>
        <w:t xml:space="preserve">No mesmo sentido, e especificamente para compras, </w:t>
      </w:r>
      <w:bookmarkStart w:id="0" w:name="art23§7"/>
      <w:bookmarkEnd w:id="0"/>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1A370F06" w14:textId="4278666B"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Nesse sentido pode ser consultado o Guia Prático de Licitações Sustentáveis do </w:t>
      </w:r>
      <w:r w:rsidR="009E428C" w:rsidRPr="0000392B">
        <w:rPr>
          <w:rFonts w:cs="Arial"/>
        </w:rPr>
        <w:t>CJU/</w:t>
      </w:r>
      <w:r w:rsidRPr="0000392B">
        <w:rPr>
          <w:rFonts w:cs="Arial"/>
        </w:rPr>
        <w:t>SP para uma lista de objetos abrangidos por disposições normativas de caráter ambiental.</w:t>
      </w:r>
    </w:p>
    <w:p w14:paraId="1A370F07" w14:textId="77777777" w:rsidR="001E14AF" w:rsidRPr="0000392B" w:rsidRDefault="001E14AF" w:rsidP="0029415B">
      <w:pPr>
        <w:pStyle w:val="Citao"/>
        <w:rPr>
          <w:rFonts w:cs="Arial"/>
        </w:rPr>
      </w:pPr>
      <w:r w:rsidRPr="0000392B">
        <w:rPr>
          <w:rFonts w:cs="Arial"/>
        </w:rPr>
        <w:lastRenderedPageBreak/>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F5D897A" w14:textId="79576953"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14:paraId="1A370F09" w14:textId="77777777" w:rsidR="00A25E48" w:rsidRPr="0000392B" w:rsidRDefault="00A25E48" w:rsidP="00DE7070">
      <w:pPr>
        <w:pStyle w:val="Nivel1"/>
      </w:pPr>
      <w:r w:rsidRPr="0000392B">
        <w:t>JUSTIFICATIVA E OBJETIVO DA CONTRATAÇÃO</w:t>
      </w:r>
    </w:p>
    <w:p w14:paraId="1A370F0A" w14:textId="4A295721" w:rsidR="00A25E48" w:rsidRPr="00FD19F7" w:rsidRDefault="00FD19F7" w:rsidP="00A25E48">
      <w:pPr>
        <w:numPr>
          <w:ilvl w:val="1"/>
          <w:numId w:val="1"/>
        </w:numPr>
        <w:spacing w:before="120" w:after="120" w:line="276" w:lineRule="auto"/>
        <w:ind w:left="425" w:firstLine="0"/>
        <w:jc w:val="both"/>
        <w:rPr>
          <w:rFonts w:cs="Arial"/>
          <w:color w:val="FF0000"/>
          <w:szCs w:val="20"/>
        </w:rPr>
      </w:pPr>
      <w:proofErr w:type="spellStart"/>
      <w:proofErr w:type="gramStart"/>
      <w:r w:rsidRPr="00FD19F7">
        <w:rPr>
          <w:rFonts w:cs="Arial"/>
          <w:color w:val="FF0000"/>
          <w:szCs w:val="20"/>
        </w:rPr>
        <w:t>xxxx</w:t>
      </w:r>
      <w:proofErr w:type="spellEnd"/>
      <w:proofErr w:type="gramEnd"/>
    </w:p>
    <w:p w14:paraId="44BAACF8" w14:textId="6A901B4D"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14:paraId="1A370F0B" w14:textId="488A7991"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00392B">
        <w:rPr>
          <w:rFonts w:cs="Arial"/>
          <w:color w:val="auto"/>
        </w:rPr>
        <w:t>Ex</w:t>
      </w:r>
      <w:proofErr w:type="spellEnd"/>
      <w:r w:rsidRPr="0000392B">
        <w:rPr>
          <w:rFonts w:cs="Arial"/>
          <w:color w:val="auto"/>
        </w:rPr>
        <w:t xml:space="preserve">: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1" w14:textId="77777777" w:rsidR="001E14AF" w:rsidRPr="0000392B" w:rsidRDefault="001E14AF" w:rsidP="00DE7070">
      <w:pPr>
        <w:pStyle w:val="Nivel1"/>
      </w:pPr>
      <w:r w:rsidRPr="0000392B">
        <w:t>CLASSIFICAÇÃO DOS BENS COMUNS</w:t>
      </w:r>
    </w:p>
    <w:p w14:paraId="1A370F12" w14:textId="2785AF2C" w:rsidR="001E14AF" w:rsidRPr="00FD19F7" w:rsidRDefault="00FD19F7" w:rsidP="0029415B">
      <w:pPr>
        <w:numPr>
          <w:ilvl w:val="1"/>
          <w:numId w:val="1"/>
        </w:numPr>
        <w:spacing w:before="120" w:after="120" w:line="276" w:lineRule="auto"/>
        <w:ind w:left="425" w:firstLine="0"/>
        <w:jc w:val="both"/>
        <w:rPr>
          <w:rFonts w:cs="Arial"/>
          <w:b/>
          <w:color w:val="FF0000"/>
          <w:szCs w:val="20"/>
        </w:rPr>
      </w:pPr>
      <w:proofErr w:type="spellStart"/>
      <w:proofErr w:type="gramStart"/>
      <w:r w:rsidRPr="00FD19F7">
        <w:rPr>
          <w:rFonts w:cs="Arial"/>
          <w:b/>
          <w:color w:val="FF0000"/>
          <w:szCs w:val="20"/>
        </w:rPr>
        <w:t>xxxx</w:t>
      </w:r>
      <w:proofErr w:type="spellEnd"/>
      <w:proofErr w:type="gramEnd"/>
    </w:p>
    <w:p w14:paraId="1A370F1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No caso de produtos perecíveis, o prazo de validade na data da entrega não poderá ser inferior a </w:t>
      </w:r>
      <w:r w:rsidRPr="0000392B">
        <w:rPr>
          <w:rFonts w:cs="Arial"/>
          <w:bCs/>
          <w:color w:val="FF0000"/>
          <w:szCs w:val="20"/>
        </w:rPr>
        <w:t>...... (......)</w:t>
      </w:r>
      <w:r w:rsidRPr="0000392B">
        <w:rPr>
          <w:rFonts w:cs="Arial"/>
          <w:bCs/>
          <w:color w:val="000000"/>
          <w:szCs w:val="20"/>
        </w:rPr>
        <w:t xml:space="preserve">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Os bens serão recebidos provisoriamente no prazo de</w:t>
      </w:r>
      <w:proofErr w:type="gramStart"/>
      <w:r w:rsidRPr="0000392B">
        <w:rPr>
          <w:rFonts w:cs="Arial"/>
          <w:color w:val="000000"/>
          <w:szCs w:val="20"/>
        </w:rPr>
        <w:t xml:space="preserv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lastRenderedPageBreak/>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proofErr w:type="gramStart"/>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lastRenderedPageBreak/>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14:paraId="1A370F31" w14:textId="77777777"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DE7070">
      <w:pPr>
        <w:pStyle w:val="Nivel1"/>
      </w:pPr>
      <w:r w:rsidRPr="0000392B">
        <w:t>DA SUBCONTRATAÇÃO</w:t>
      </w:r>
    </w:p>
    <w:p w14:paraId="1A370F33" w14:textId="77777777"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Não será admitida a subcontratação do objeto licitatório.</w:t>
      </w:r>
    </w:p>
    <w:p w14:paraId="294DB9C4" w14:textId="2F9E8FB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14:paraId="1A370F34" w14:textId="77777777"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14:paraId="1A370F35" w14:textId="7A4471D1" w:rsidR="001E14AF" w:rsidRPr="00EF6C43" w:rsidRDefault="005E4CDC" w:rsidP="0029415B">
      <w:pPr>
        <w:numPr>
          <w:ilvl w:val="1"/>
          <w:numId w:val="1"/>
        </w:numPr>
        <w:spacing w:before="120" w:after="120" w:line="276" w:lineRule="auto"/>
        <w:ind w:left="425" w:firstLine="0"/>
        <w:jc w:val="both"/>
        <w:rPr>
          <w:rFonts w:cs="Arial"/>
          <w:i/>
          <w:color w:val="FF0000"/>
          <w:szCs w:val="20"/>
        </w:rPr>
      </w:pPr>
      <w:r w:rsidRPr="00EF6C43">
        <w:rPr>
          <w:rFonts w:cs="Arial"/>
          <w:i/>
          <w:color w:val="FF0000"/>
          <w:szCs w:val="20"/>
        </w:rPr>
        <w:t>É permitida a subcontratação parcial do objeto entre os limites mínimo e máximo de XX% e XX%, respectivamente, do valor total do contrato, nas seguintes condições:</w:t>
      </w:r>
    </w:p>
    <w:p w14:paraId="2ECF4F52" w14:textId="5A581D4C" w:rsidR="005E4CDC" w:rsidRPr="00EF6C43" w:rsidRDefault="005E4CDC" w:rsidP="0029415B">
      <w:pPr>
        <w:numPr>
          <w:ilvl w:val="2"/>
          <w:numId w:val="1"/>
        </w:numPr>
        <w:spacing w:before="120" w:after="120" w:line="276" w:lineRule="auto"/>
        <w:ind w:left="1134" w:firstLine="0"/>
        <w:jc w:val="both"/>
        <w:rPr>
          <w:rFonts w:cs="Arial"/>
          <w:i/>
          <w:szCs w:val="20"/>
          <w:lang w:eastAsia="en-US"/>
        </w:rPr>
      </w:pPr>
      <w:r w:rsidRPr="00EF6C43">
        <w:rPr>
          <w:rFonts w:cs="Arial"/>
          <w:i/>
          <w:color w:val="FF0000"/>
          <w:szCs w:val="20"/>
          <w:lang w:eastAsia="en-US"/>
        </w:rPr>
        <w:t>É vedada a sub-rogação completa ou da parcela principal da obrigaç</w:t>
      </w:r>
      <w:r w:rsidRPr="00EF6C43">
        <w:rPr>
          <w:rFonts w:cs="Arial"/>
          <w:i/>
          <w:szCs w:val="20"/>
          <w:lang w:eastAsia="en-US"/>
        </w:rPr>
        <w:t>ão.</w:t>
      </w:r>
    </w:p>
    <w:p w14:paraId="1A370F36" w14:textId="77777777"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t>...</w:t>
      </w:r>
    </w:p>
    <w:p w14:paraId="1A370F37" w14:textId="77777777"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t>...</w:t>
      </w:r>
    </w:p>
    <w:p w14:paraId="1A370F38" w14:textId="0F6BD240" w:rsidR="001E14AF" w:rsidRPr="00EF6C43" w:rsidRDefault="001E14AF" w:rsidP="0029415B">
      <w:pPr>
        <w:pStyle w:val="Citao"/>
        <w:rPr>
          <w:rFonts w:cs="Arial"/>
          <w:color w:val="auto"/>
        </w:rPr>
      </w:pPr>
      <w:r w:rsidRPr="00EF6C43">
        <w:rPr>
          <w:rFonts w:cs="Arial"/>
          <w:b/>
          <w:color w:val="auto"/>
        </w:rPr>
        <w:t>Nota explicativa</w:t>
      </w:r>
      <w:r w:rsidRPr="00EF6C43">
        <w:rPr>
          <w:rFonts w:cs="Arial"/>
          <w:color w:val="auto"/>
        </w:rPr>
        <w:t>: A subcontratação parcial NÃO é obrigatória e deverá ser analisada pelo Administrador em cada caso concreto.</w:t>
      </w:r>
      <w:r w:rsidR="002C50DF" w:rsidRPr="00EF6C43">
        <w:rPr>
          <w:rFonts w:cs="Arial"/>
          <w:color w:val="auto"/>
        </w:rPr>
        <w:t xml:space="preserve"> </w:t>
      </w:r>
      <w:r w:rsidRPr="00EF6C43">
        <w:rPr>
          <w:rFonts w:cs="Arial"/>
          <w:color w:val="auto"/>
        </w:rPr>
        <w:t>Caso admitida, o edital deve estabelecer com detalhamento seus limites e condições, inclusive especificando quais parcelas do ob</w:t>
      </w:r>
      <w:r w:rsidR="005E4CDC" w:rsidRPr="00EF6C43">
        <w:rPr>
          <w:rFonts w:cs="Arial"/>
          <w:color w:val="auto"/>
        </w:rPr>
        <w:t>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w:t>
      </w:r>
      <w:proofErr w:type="spellStart"/>
      <w:r w:rsidR="005E4CDC" w:rsidRPr="00EF6C43">
        <w:rPr>
          <w:rFonts w:cs="Arial"/>
          <w:color w:val="auto"/>
        </w:rPr>
        <w:t>ii</w:t>
      </w:r>
      <w:proofErr w:type="spellEnd"/>
      <w:r w:rsidR="005E4CDC" w:rsidRPr="00EF6C43">
        <w:rPr>
          <w:rFonts w:cs="Arial"/>
          <w:color w:val="auto"/>
        </w:rPr>
        <w:t>) a subcontratação das parcelas de maior relevância técnica, assim definidas no instrumento convocatório</w:t>
      </w:r>
      <w:r w:rsidR="009F6D7E">
        <w:rPr>
          <w:rFonts w:cs="Arial"/>
          <w:color w:val="auto"/>
        </w:rPr>
        <w:t>.</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lastRenderedPageBreak/>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2C7035" w:rsidRDefault="009A1099" w:rsidP="0029415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 xml:space="preserve">O recebimento de material de </w:t>
      </w:r>
      <w:r w:rsidRPr="002C7035">
        <w:rPr>
          <w:rFonts w:cs="Arial"/>
          <w:color w:val="000000"/>
          <w:szCs w:val="20"/>
          <w:lang w:eastAsia="en-US"/>
        </w:rPr>
        <w:t xml:space="preserve">valor superior a R$ </w:t>
      </w:r>
      <w:r w:rsidR="008010EF" w:rsidRPr="002C7035">
        <w:rPr>
          <w:rFonts w:cs="Arial"/>
          <w:color w:val="000000"/>
          <w:szCs w:val="20"/>
          <w:lang w:eastAsia="en-US"/>
        </w:rPr>
        <w:t>176.000,00</w:t>
      </w:r>
      <w:r w:rsidRPr="002C7035">
        <w:rPr>
          <w:rFonts w:cs="Arial"/>
          <w:color w:val="000000"/>
          <w:szCs w:val="20"/>
          <w:lang w:eastAsia="en-US"/>
        </w:rPr>
        <w:t xml:space="preserve"> (</w:t>
      </w:r>
      <w:r w:rsidR="008010EF" w:rsidRPr="002C7035">
        <w:rPr>
          <w:rFonts w:cs="Arial"/>
          <w:color w:val="000000"/>
          <w:szCs w:val="20"/>
          <w:lang w:eastAsia="en-US"/>
        </w:rPr>
        <w:t>cento e setenta e seis</w:t>
      </w:r>
      <w:r w:rsidRPr="002C7035">
        <w:rPr>
          <w:rFonts w:cs="Arial"/>
          <w:color w:val="000000"/>
          <w:szCs w:val="20"/>
          <w:lang w:eastAsia="en-US"/>
        </w:rPr>
        <w:t xml:space="preserve"> mil reais) será confiado a uma comissão de, no mínimo, 3 (três) membros, designados pela autoridade competente.</w:t>
      </w:r>
    </w:p>
    <w:p w14:paraId="1A370F43" w14:textId="77777777"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27822074"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xml:space="preserve">...... </w:t>
      </w:r>
      <w:proofErr w:type="gramStart"/>
      <w:r w:rsidRPr="002E3CAE">
        <w:rPr>
          <w:rFonts w:cs="Arial"/>
          <w:color w:val="FF0000"/>
          <w:szCs w:val="20"/>
          <w:lang w:eastAsia="en-US"/>
        </w:rPr>
        <w:t>(....</w:t>
      </w:r>
      <w:proofErr w:type="gramEnd"/>
      <w:r w:rsidRPr="002E3CAE">
        <w:rPr>
          <w:rFonts w:cs="Arial"/>
          <w:color w:val="FF0000"/>
          <w:szCs w:val="20"/>
          <w:lang w:eastAsia="en-US"/>
        </w:rPr>
        <w:t>.)</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435B72F3" w14:textId="7EAE733C" w:rsidR="000528E5" w:rsidRPr="00A14062" w:rsidRDefault="002E3CAE" w:rsidP="007D538C">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A14062">
        <w:rPr>
          <w:rFonts w:cs="Arial"/>
          <w:color w:val="000000"/>
          <w:szCs w:val="20"/>
          <w:lang w:eastAsia="en-US"/>
        </w:rPr>
        <w:t>.</w:t>
      </w:r>
    </w:p>
    <w:p w14:paraId="34D0A51F" w14:textId="424CC6F0"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w:t>
      </w:r>
      <w:r w:rsidRPr="00413DFC">
        <w:rPr>
          <w:rFonts w:cs="Arial"/>
          <w:color w:val="000000"/>
          <w:szCs w:val="20"/>
          <w:lang w:eastAsia="en-US"/>
        </w:rPr>
        <w:lastRenderedPageBreak/>
        <w:t xml:space="preserve">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lastRenderedPageBreak/>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413DFC" w14:paraId="0DB10AC3" w14:textId="77777777" w:rsidTr="0048470F">
        <w:tc>
          <w:tcPr>
            <w:tcW w:w="2214" w:type="dxa"/>
            <w:vAlign w:val="center"/>
          </w:tcPr>
          <w:p w14:paraId="693865DB" w14:textId="77777777" w:rsidR="002E3CAE" w:rsidRPr="00413DFC" w:rsidRDefault="002E3CAE" w:rsidP="0048470F">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48470F">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48470F">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14:paraId="53A95D8A" w14:textId="77777777" w:rsidR="002E3CAE" w:rsidRPr="00413DFC" w:rsidRDefault="002E3CAE" w:rsidP="0048470F">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48470F">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9379BE9" w14:textId="77777777" w:rsidR="006F7BAF" w:rsidRDefault="006F7BAF" w:rsidP="00EA46E8"/>
    <w:p w14:paraId="4292233E" w14:textId="73A0EDDE" w:rsidR="006F7BAF" w:rsidRPr="002C7035" w:rsidRDefault="004772C2" w:rsidP="006F7BAF">
      <w:pPr>
        <w:pStyle w:val="Nivel1"/>
      </w:pPr>
      <w:r w:rsidRPr="002C7035">
        <w:t xml:space="preserve">DO </w:t>
      </w:r>
      <w:r w:rsidR="006F7BAF" w:rsidRPr="002C7035">
        <w:t>REAJUSTE</w:t>
      </w:r>
      <w:r w:rsidR="00C46167" w:rsidRPr="002C7035">
        <w:t xml:space="preserve"> </w:t>
      </w:r>
    </w:p>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775AA9DC" w14:textId="4CD9A573"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14:paraId="7565198D" w14:textId="77777777" w:rsidR="006F7BAF" w:rsidRDefault="006F7BAF" w:rsidP="00EA46E8"/>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14:paraId="3F262BC6" w14:textId="749531AA" w:rsidR="00D37DC8" w:rsidRPr="002C7035" w:rsidRDefault="002C7035" w:rsidP="00D37DC8">
      <w:pPr>
        <w:pStyle w:val="Nivel1"/>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305B0B4C" w14:textId="77777777" w:rsidR="00123B54" w:rsidRPr="002C7035" w:rsidRDefault="00123B54" w:rsidP="00123B54">
      <w:pPr>
        <w:pStyle w:val="Citao"/>
        <w:rPr>
          <w:rFonts w:cs="Arial"/>
          <w:color w:val="FF0000"/>
        </w:rPr>
      </w:pPr>
      <w:r w:rsidRPr="002C7035">
        <w:rPr>
          <w:rFonts w:cs="Arial"/>
          <w:b/>
          <w:color w:val="FF0000"/>
        </w:rPr>
        <w:t>Nota explicativa</w:t>
      </w:r>
      <w:r w:rsidRPr="002C7035">
        <w:rPr>
          <w:rFonts w:cs="Arial"/>
          <w:color w:val="FF0000"/>
        </w:rPr>
        <w:t>: Fica a critério da Administração exigir ou não, a garantia. Não a exigindo, deve suprimir o item. Conforme disposto no artigo 56, da Lei nº 8.666, de 1993, o percentual da garantia não poderá exceder a 5% do valor do contrato.</w:t>
      </w:r>
    </w:p>
    <w:p w14:paraId="7661EE32" w14:textId="77777777" w:rsidR="00123B54" w:rsidRPr="002C7035" w:rsidRDefault="00123B54" w:rsidP="00123B54">
      <w:pPr>
        <w:rPr>
          <w:lang w:eastAsia="en-US"/>
        </w:rPr>
      </w:pPr>
    </w:p>
    <w:p w14:paraId="25FBE528" w14:textId="4B930613" w:rsidR="00123B54" w:rsidRPr="002C7035" w:rsidRDefault="00123B54" w:rsidP="00123B54">
      <w:pPr>
        <w:rPr>
          <w:lang w:eastAsia="en-US"/>
        </w:rPr>
      </w:pPr>
      <w:r w:rsidRPr="002C7035">
        <w:rPr>
          <w:lang w:eastAsia="en-US"/>
        </w:rPr>
        <w:t xml:space="preserve">OU </w:t>
      </w:r>
    </w:p>
    <w:p w14:paraId="2FCD3987" w14:textId="77777777" w:rsidR="00123B54" w:rsidRPr="002C7035"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2C7035">
        <w:rPr>
          <w:rFonts w:cs="Arial"/>
          <w:bCs/>
          <w:i/>
          <w:iCs/>
          <w:color w:val="FF0000"/>
          <w:szCs w:val="20"/>
        </w:rPr>
        <w:t xml:space="preserve">O adjudicatário, no prazo de ......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4E9C767F" w14:textId="77777777" w:rsidR="00B54DC8" w:rsidRPr="002C7035" w:rsidRDefault="00B54DC8" w:rsidP="00B54DC8">
      <w:pPr>
        <w:pStyle w:val="PargrafodaLista"/>
        <w:keepNext/>
        <w:keepLines/>
        <w:numPr>
          <w:ilvl w:val="0"/>
          <w:numId w:val="41"/>
        </w:numPr>
        <w:spacing w:before="120" w:after="120" w:line="276" w:lineRule="auto"/>
        <w:contextualSpacing w:val="0"/>
        <w:jc w:val="both"/>
        <w:outlineLvl w:val="0"/>
        <w:rPr>
          <w:rFonts w:eastAsiaTheme="majorEastAsia" w:cs="Arial"/>
          <w:b/>
          <w:i/>
          <w:vanish/>
          <w:color w:val="FF0000"/>
          <w:szCs w:val="20"/>
        </w:rPr>
      </w:pPr>
    </w:p>
    <w:p w14:paraId="7A8AA44E" w14:textId="77777777" w:rsidR="00B54DC8" w:rsidRPr="002C7035" w:rsidRDefault="00B54DC8" w:rsidP="00B54DC8">
      <w:pPr>
        <w:pStyle w:val="PargrafodaLista"/>
        <w:keepNext/>
        <w:keepLines/>
        <w:numPr>
          <w:ilvl w:val="1"/>
          <w:numId w:val="41"/>
        </w:numPr>
        <w:spacing w:before="120" w:after="120" w:line="276" w:lineRule="auto"/>
        <w:contextualSpacing w:val="0"/>
        <w:jc w:val="both"/>
        <w:outlineLvl w:val="0"/>
        <w:rPr>
          <w:rFonts w:eastAsiaTheme="majorEastAsia" w:cs="Arial"/>
          <w:b/>
          <w:i/>
          <w:vanish/>
          <w:color w:val="FF0000"/>
          <w:szCs w:val="20"/>
        </w:rPr>
      </w:pPr>
    </w:p>
    <w:p w14:paraId="47B20764" w14:textId="637AD6AD" w:rsidR="00C15A31" w:rsidRPr="002C7035" w:rsidRDefault="00C15A31" w:rsidP="00B54DC8">
      <w:pPr>
        <w:pStyle w:val="PargrafodaLista"/>
        <w:numPr>
          <w:ilvl w:val="1"/>
          <w:numId w:val="41"/>
        </w:numPr>
        <w:rPr>
          <w:bCs/>
          <w:iCs/>
        </w:rPr>
      </w:pPr>
      <w:r w:rsidRPr="002C7035">
        <w:t>Caberá ao contratado optar por uma das seguintes modalidades de garantia: </w:t>
      </w:r>
    </w:p>
    <w:p w14:paraId="2FEF460F" w14:textId="42D09E7C" w:rsidR="00C15A31" w:rsidRPr="002C7035" w:rsidRDefault="00C15A31" w:rsidP="00C15A31">
      <w:pPr>
        <w:pStyle w:val="PargrafodaLista"/>
        <w:spacing w:before="120" w:after="120" w:line="276" w:lineRule="auto"/>
        <w:ind w:left="425"/>
        <w:contextualSpacing w:val="0"/>
        <w:jc w:val="both"/>
        <w:rPr>
          <w:rFonts w:cs="Arial"/>
          <w:i/>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.1-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27FC860E" w:rsidR="00C15A31" w:rsidRPr="002C7035" w:rsidRDefault="00C15A31" w:rsidP="00C15A31">
      <w:pPr>
        <w:pStyle w:val="PargrafodaLista"/>
        <w:spacing w:before="120" w:after="120" w:line="276" w:lineRule="auto"/>
        <w:ind w:left="425"/>
        <w:contextualSpacing w:val="0"/>
        <w:jc w:val="both"/>
        <w:rPr>
          <w:rFonts w:cs="Arial"/>
          <w:i/>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.2- seguro-garantia; </w:t>
      </w:r>
    </w:p>
    <w:p w14:paraId="6FACC86E" w14:textId="1A9F434B" w:rsidR="00123B54" w:rsidRPr="00601C20" w:rsidRDefault="00C15A31" w:rsidP="002C7035">
      <w:pPr>
        <w:pStyle w:val="PargrafodaLista"/>
        <w:spacing w:before="120" w:after="120" w:line="276" w:lineRule="auto"/>
        <w:ind w:left="425"/>
        <w:contextualSpacing w:val="0"/>
        <w:jc w:val="both"/>
        <w:rPr>
          <w:rFonts w:cs="Arial"/>
          <w:bCs/>
          <w:i/>
          <w:iCs/>
          <w:strike/>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.3- fiança bancária</w:t>
      </w:r>
      <w:r w:rsidRPr="002C7035">
        <w:rPr>
          <w:rFonts w:cs="Arial"/>
          <w:szCs w:val="20"/>
        </w:rPr>
        <w:t>.</w:t>
      </w:r>
      <w:r>
        <w:rPr>
          <w:rFonts w:cs="Arial"/>
          <w:szCs w:val="20"/>
        </w:rPr>
        <w:t> </w:t>
      </w:r>
    </w:p>
    <w:p w14:paraId="52920A16" w14:textId="77777777"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4799DE03" w14:textId="77777777" w:rsidR="00123B54" w:rsidRPr="002C7035" w:rsidRDefault="00123B54" w:rsidP="00123B54">
      <w:pPr>
        <w:pStyle w:val="Citao"/>
        <w:rPr>
          <w:rFonts w:cs="Arial"/>
          <w:color w:val="auto"/>
        </w:rPr>
      </w:pPr>
      <w:r w:rsidRPr="002C7035">
        <w:rPr>
          <w:rFonts w:cs="Arial"/>
          <w:color w:val="auto"/>
        </w:rPr>
        <w:t>11.1.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0960B013"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w:t>
      </w:r>
      <w:proofErr w:type="gramStart"/>
      <w:r>
        <w:rPr>
          <w:rFonts w:cs="Arial"/>
          <w:bCs/>
          <w:i/>
          <w:iCs/>
          <w:color w:val="FF0000"/>
          <w:szCs w:val="20"/>
        </w:rPr>
        <w:t>( artigo</w:t>
      </w:r>
      <w:proofErr w:type="gramEnd"/>
      <w:r>
        <w:rPr>
          <w:rFonts w:cs="Arial"/>
          <w:bCs/>
          <w:i/>
          <w:iCs/>
          <w:color w:val="FF0000"/>
          <w:szCs w:val="20"/>
        </w:rPr>
        <w:t xml:space="preserve"> 56, §4º da Lei nº 8666/93)</w:t>
      </w:r>
    </w:p>
    <w:p w14:paraId="1A370F46" w14:textId="02EFD01C" w:rsidR="001E14AF" w:rsidRPr="0000392B" w:rsidRDefault="001E14AF" w:rsidP="00EA46E8">
      <w:pPr>
        <w:pStyle w:val="Nivel1"/>
        <w:numPr>
          <w:ilvl w:val="0"/>
          <w:numId w:val="37"/>
        </w:numPr>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proofErr w:type="gramStart"/>
      <w:r w:rsidRPr="00DA7D17">
        <w:rPr>
          <w:rFonts w:cs="Arial"/>
          <w:b/>
          <w:szCs w:val="20"/>
        </w:rPr>
        <w:lastRenderedPageBreak/>
        <w:t>A</w:t>
      </w:r>
      <w:r w:rsidR="001E14AF" w:rsidRPr="00DA7D17">
        <w:rPr>
          <w:rFonts w:cs="Arial"/>
          <w:b/>
          <w:szCs w:val="20"/>
        </w:rPr>
        <w:t>dvertência</w:t>
      </w:r>
      <w:r w:rsidRPr="00DA7D17">
        <w:rPr>
          <w:rFonts w:cs="Arial"/>
          <w:b/>
          <w:szCs w:val="20"/>
        </w:rPr>
        <w:t>,</w:t>
      </w:r>
      <w:r w:rsidRPr="0085196B">
        <w:rPr>
          <w:rFonts w:cs="Arial"/>
          <w:szCs w:val="20"/>
        </w:rPr>
        <w:t xml:space="preserve"> </w:t>
      </w:r>
      <w:r w:rsidR="001E14AF" w:rsidRPr="0000392B">
        <w:rPr>
          <w:rFonts w:cs="Arial"/>
          <w:szCs w:val="20"/>
        </w:rPr>
        <w:t xml:space="preserve"> por</w:t>
      </w:r>
      <w:proofErr w:type="gramEnd"/>
      <w:r w:rsidR="001E14AF" w:rsidRPr="0000392B">
        <w:rPr>
          <w:rFonts w:cs="Arial"/>
          <w:szCs w:val="20"/>
        </w:rPr>
        <w:t xml:space="preserve">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29415B">
      <w:pPr>
        <w:numPr>
          <w:ilvl w:val="1"/>
          <w:numId w:val="1"/>
        </w:numPr>
        <w:spacing w:before="120" w:after="120" w:line="276" w:lineRule="auto"/>
        <w:ind w:left="425"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77777777"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5D811002"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12.2.1, 12.3.3, 12.3.4 e 12</w:t>
      </w:r>
      <w:r w:rsidRPr="002C7035">
        <w:rPr>
          <w:rFonts w:cs="Arial"/>
          <w:szCs w:val="20"/>
        </w:rPr>
        <w:t>.3.5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370F5C" w14:textId="77777777"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Pr="002C7035" w:rsidRDefault="002C7035" w:rsidP="002C7035">
      <w:pPr>
        <w:pStyle w:val="Nivel1"/>
        <w:numPr>
          <w:ilvl w:val="0"/>
          <w:numId w:val="0"/>
        </w:numPr>
        <w:spacing w:before="120"/>
        <w:ind w:left="357" w:right="-30"/>
        <w:rPr>
          <w:bCs/>
        </w:rPr>
      </w:pPr>
    </w:p>
    <w:p w14:paraId="217C0334" w14:textId="5126F588" w:rsidR="007152C7" w:rsidRPr="002C7035" w:rsidRDefault="007152C7" w:rsidP="00FF61DB">
      <w:pPr>
        <w:pStyle w:val="Nivel1"/>
        <w:spacing w:before="120"/>
        <w:ind w:right="-30"/>
        <w:rPr>
          <w:bCs/>
        </w:rPr>
      </w:pPr>
      <w:r w:rsidRPr="002C7035">
        <w:t>DOS RECURSOS ORÇAMENTÁRIOS.</w:t>
      </w:r>
    </w:p>
    <w:p w14:paraId="2D93B5E3" w14:textId="77777777"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14:paraId="3C5E1FA8" w14:textId="77777777" w:rsidR="007152C7" w:rsidRPr="002C7035" w:rsidRDefault="007152C7" w:rsidP="00563CBA">
      <w:pPr>
        <w:spacing w:before="120" w:after="120" w:line="276" w:lineRule="auto"/>
        <w:ind w:left="425"/>
        <w:jc w:val="both"/>
        <w:rPr>
          <w:rFonts w:cs="Arial"/>
          <w:i/>
          <w:szCs w:val="20"/>
        </w:rPr>
      </w:pPr>
    </w:p>
    <w:p w14:paraId="1E69FBAE" w14:textId="77777777" w:rsidR="007152C7" w:rsidRPr="002C7035" w:rsidRDefault="007152C7" w:rsidP="00563CBA">
      <w:pPr>
        <w:spacing w:before="120" w:after="120" w:line="276" w:lineRule="auto"/>
        <w:ind w:left="425"/>
        <w:jc w:val="both"/>
        <w:rPr>
          <w:rFonts w:cs="Arial"/>
          <w:i/>
          <w:szCs w:val="20"/>
        </w:rPr>
      </w:pPr>
    </w:p>
    <w:p w14:paraId="01F13AD0" w14:textId="77777777" w:rsidR="007152C7" w:rsidRPr="002C7035" w:rsidRDefault="007152C7" w:rsidP="00563CBA">
      <w:pPr>
        <w:spacing w:before="120" w:after="120" w:line="276" w:lineRule="auto"/>
        <w:ind w:left="425"/>
        <w:jc w:val="both"/>
        <w:rPr>
          <w:rFonts w:cs="Arial"/>
          <w:i/>
          <w:szCs w:val="20"/>
        </w:rPr>
      </w:pPr>
    </w:p>
    <w:p w14:paraId="1A370F5E" w14:textId="6B84A793" w:rsidR="001E14AF" w:rsidRPr="002B015D" w:rsidRDefault="002B015D" w:rsidP="002B015D">
      <w:pPr>
        <w:spacing w:after="360"/>
        <w:ind w:left="360"/>
        <w:jc w:val="right"/>
        <w:rPr>
          <w:rFonts w:cs="Arial"/>
          <w:szCs w:val="20"/>
        </w:rPr>
      </w:pPr>
      <w:r w:rsidRPr="002B015D">
        <w:rPr>
          <w:rFonts w:cs="Arial"/>
          <w:szCs w:val="20"/>
        </w:rPr>
        <w:t>São Paulo, ______</w:t>
      </w:r>
      <w:r w:rsidR="00124FA4" w:rsidRPr="002B015D">
        <w:rPr>
          <w:rFonts w:cs="Arial"/>
          <w:bCs/>
          <w:szCs w:val="20"/>
        </w:rPr>
        <w:t xml:space="preserve"> de </w:t>
      </w:r>
      <w:r w:rsidRPr="002B015D">
        <w:rPr>
          <w:rFonts w:cs="Arial"/>
          <w:bCs/>
          <w:szCs w:val="20"/>
        </w:rPr>
        <w:t>_________________</w:t>
      </w:r>
      <w:r w:rsidR="00124FA4" w:rsidRPr="002B015D">
        <w:rPr>
          <w:rFonts w:cs="Arial"/>
          <w:bCs/>
          <w:szCs w:val="20"/>
        </w:rPr>
        <w:t xml:space="preserve">de </w:t>
      </w:r>
      <w:r w:rsidRPr="002B015D">
        <w:rPr>
          <w:rFonts w:cs="Arial"/>
          <w:bCs/>
          <w:szCs w:val="20"/>
        </w:rPr>
        <w:t>2019</w:t>
      </w:r>
      <w:r w:rsidR="001E14AF" w:rsidRPr="002B015D">
        <w:rPr>
          <w:rFonts w:cs="Arial"/>
          <w:szCs w:val="20"/>
        </w:rPr>
        <w:t xml:space="preserve">. </w:t>
      </w:r>
    </w:p>
    <w:p w14:paraId="3E1A6854" w14:textId="77777777" w:rsidR="002B015D" w:rsidRPr="002C7035" w:rsidRDefault="002B015D" w:rsidP="0029415B">
      <w:pPr>
        <w:spacing w:after="360"/>
        <w:ind w:left="360"/>
        <w:rPr>
          <w:rFonts w:cs="Arial"/>
          <w:szCs w:val="20"/>
        </w:rPr>
      </w:pPr>
    </w:p>
    <w:p w14:paraId="1A370F60" w14:textId="77777777" w:rsidR="001E14AF" w:rsidRPr="002C7035" w:rsidRDefault="001E14AF" w:rsidP="002B015D">
      <w:pPr>
        <w:spacing w:after="360"/>
        <w:ind w:left="360"/>
        <w:jc w:val="center"/>
        <w:rPr>
          <w:rFonts w:cs="Arial"/>
          <w:szCs w:val="20"/>
        </w:rPr>
      </w:pPr>
      <w:r w:rsidRPr="002C7035">
        <w:rPr>
          <w:rFonts w:cs="Arial"/>
          <w:szCs w:val="20"/>
        </w:rPr>
        <w:t>__________________________________</w:t>
      </w:r>
    </w:p>
    <w:p w14:paraId="1A370F61" w14:textId="07B834F0" w:rsidR="001E14AF" w:rsidRDefault="001E14AF" w:rsidP="002B015D">
      <w:pPr>
        <w:spacing w:after="360"/>
        <w:ind w:left="360"/>
        <w:jc w:val="center"/>
        <w:rPr>
          <w:rFonts w:cs="Arial"/>
          <w:szCs w:val="20"/>
        </w:rPr>
      </w:pPr>
      <w:r w:rsidRPr="002C7035">
        <w:rPr>
          <w:rFonts w:cs="Arial"/>
          <w:szCs w:val="20"/>
        </w:rPr>
        <w:t>Identificação e assinatura do servidor</w:t>
      </w:r>
      <w:r w:rsidR="00124FA4" w:rsidRPr="002C7035">
        <w:rPr>
          <w:rFonts w:cs="Arial"/>
          <w:szCs w:val="20"/>
        </w:rPr>
        <w:t xml:space="preserve"> </w:t>
      </w:r>
      <w:r w:rsidRPr="002C7035">
        <w:rPr>
          <w:rFonts w:cs="Arial"/>
          <w:szCs w:val="20"/>
        </w:rPr>
        <w:t>responsável</w:t>
      </w:r>
    </w:p>
    <w:p w14:paraId="1ADEF5DC" w14:textId="695F3EBD" w:rsidR="00FD19F7" w:rsidRDefault="00FD19F7" w:rsidP="002B015D">
      <w:pPr>
        <w:spacing w:after="360"/>
        <w:ind w:left="360"/>
        <w:jc w:val="center"/>
        <w:rPr>
          <w:rFonts w:cs="Arial"/>
          <w:szCs w:val="20"/>
        </w:rPr>
      </w:pPr>
    </w:p>
    <w:p w14:paraId="60A33ABB" w14:textId="77777777" w:rsidR="00FD19F7" w:rsidRPr="00FD19F7" w:rsidRDefault="00FD19F7" w:rsidP="00FD19F7">
      <w:pPr>
        <w:spacing w:after="360"/>
        <w:ind w:left="360"/>
        <w:jc w:val="center"/>
        <w:rPr>
          <w:rFonts w:cs="Arial"/>
          <w:szCs w:val="20"/>
        </w:rPr>
      </w:pPr>
      <w:r w:rsidRPr="00FD19F7">
        <w:rPr>
          <w:rFonts w:cs="Arial"/>
          <w:szCs w:val="20"/>
        </w:rPr>
        <w:t>___________________________________</w:t>
      </w:r>
    </w:p>
    <w:p w14:paraId="05F6CC21" w14:textId="5CBF94B9" w:rsidR="00FD19F7" w:rsidRPr="00FD19F7" w:rsidRDefault="00FD19F7" w:rsidP="00FD19F7">
      <w:pPr>
        <w:spacing w:after="360"/>
        <w:ind w:left="360"/>
        <w:jc w:val="center"/>
        <w:rPr>
          <w:rFonts w:cs="Arial"/>
          <w:szCs w:val="20"/>
        </w:rPr>
      </w:pPr>
      <w:r w:rsidRPr="00FD19F7">
        <w:rPr>
          <w:rFonts w:cs="Arial"/>
          <w:szCs w:val="20"/>
        </w:rPr>
        <w:t xml:space="preserve">Identificação e assinatura do </w:t>
      </w:r>
      <w:r>
        <w:rPr>
          <w:rFonts w:cs="Arial"/>
          <w:szCs w:val="20"/>
        </w:rPr>
        <w:t>Diretor/coordenador da área respectiva</w:t>
      </w:r>
    </w:p>
    <w:p w14:paraId="25E0A9FC" w14:textId="77777777" w:rsidR="00FD19F7" w:rsidRDefault="00FD19F7" w:rsidP="002B015D">
      <w:pPr>
        <w:spacing w:after="360"/>
        <w:ind w:left="360"/>
        <w:jc w:val="center"/>
        <w:rPr>
          <w:rFonts w:cs="Arial"/>
          <w:szCs w:val="20"/>
        </w:rPr>
      </w:pPr>
    </w:p>
    <w:p w14:paraId="1A370F62" w14:textId="77777777" w:rsidR="00553BF9" w:rsidRPr="00771167" w:rsidRDefault="00553BF9" w:rsidP="00553BF9">
      <w:pPr>
        <w:pStyle w:val="citao2"/>
        <w:rPr>
          <w:rFonts w:cs="Arial"/>
        </w:rPr>
      </w:pPr>
      <w:bookmarkStart w:id="1" w:name="_GoBack"/>
      <w:bookmarkEnd w:id="1"/>
      <w:r w:rsidRPr="002C7035">
        <w:rPr>
          <w:rFonts w:cs="Arial"/>
          <w:b/>
        </w:rPr>
        <w:t>Nota explicativa</w:t>
      </w:r>
      <w:r w:rsidRPr="002C7035">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618B2" w14:textId="77777777" w:rsidR="00D0707D" w:rsidRDefault="00D0707D">
      <w:r>
        <w:separator/>
      </w:r>
    </w:p>
  </w:endnote>
  <w:endnote w:type="continuationSeparator" w:id="0">
    <w:p w14:paraId="422FDF4A" w14:textId="77777777" w:rsidR="00D0707D" w:rsidRDefault="00D0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0F68" w14:textId="77777777" w:rsidR="00A3644B" w:rsidRPr="00771167" w:rsidRDefault="00A3644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8DF3A0" w:rsidR="00A3644B" w:rsidRPr="00771167" w:rsidRDefault="00A3644B" w:rsidP="00A3644B">
    <w:pPr>
      <w:pStyle w:val="Rodap"/>
      <w:rPr>
        <w:rFonts w:cs="Arial"/>
        <w:sz w:val="12"/>
        <w:szCs w:val="12"/>
      </w:rPr>
    </w:pPr>
    <w:r w:rsidRPr="00771167">
      <w:rPr>
        <w:rFonts w:cs="Arial"/>
        <w:sz w:val="12"/>
        <w:szCs w:val="12"/>
      </w:rPr>
      <w:t xml:space="preserve">Comissão Permanente de </w:t>
    </w:r>
    <w:r w:rsidR="002C7035">
      <w:rPr>
        <w:rFonts w:cs="Arial"/>
        <w:sz w:val="12"/>
        <w:szCs w:val="12"/>
      </w:rPr>
      <w:t>Modelos de Licitações e Contratos da</w:t>
    </w:r>
    <w:r w:rsidRPr="00771167">
      <w:rPr>
        <w:rFonts w:cs="Arial"/>
        <w:sz w:val="12"/>
        <w:szCs w:val="12"/>
      </w:rPr>
      <w:t xml:space="preserve"> Consultoria-Geral da União</w:t>
    </w:r>
  </w:p>
  <w:p w14:paraId="1A370F6A" w14:textId="77777777" w:rsidR="00A3644B" w:rsidRPr="00771167" w:rsidRDefault="00A3644B" w:rsidP="00A3644B">
    <w:pPr>
      <w:pStyle w:val="Rodap"/>
      <w:rPr>
        <w:rFonts w:cs="Arial"/>
        <w:sz w:val="12"/>
        <w:szCs w:val="12"/>
      </w:rPr>
    </w:pPr>
    <w:r w:rsidRPr="00771167">
      <w:rPr>
        <w:rFonts w:cs="Arial"/>
        <w:sz w:val="12"/>
        <w:szCs w:val="12"/>
      </w:rPr>
      <w:t>Termo de Referência - Modelo para Pregão Eletrônico – Compras</w:t>
    </w:r>
  </w:p>
  <w:p w14:paraId="1A370F6B" w14:textId="4FB7D2AF" w:rsidR="00A3644B" w:rsidRPr="00771167" w:rsidRDefault="00BA5AAA" w:rsidP="00A3644B">
    <w:pPr>
      <w:pStyle w:val="Rodap"/>
      <w:rPr>
        <w:rFonts w:cs="Arial"/>
      </w:rPr>
    </w:pPr>
    <w:r>
      <w:rPr>
        <w:rFonts w:cs="Arial"/>
        <w:sz w:val="12"/>
        <w:szCs w:val="12"/>
      </w:rPr>
      <w:t>Atualização</w:t>
    </w:r>
    <w:r w:rsidR="00CA02C8">
      <w:rPr>
        <w:rFonts w:cs="Arial"/>
        <w:sz w:val="12"/>
        <w:szCs w:val="12"/>
      </w:rPr>
      <w:t>: Dezembro/2018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7A44" w14:textId="77777777" w:rsidR="00D0707D" w:rsidRDefault="00D0707D">
      <w:r>
        <w:separator/>
      </w:r>
    </w:p>
  </w:footnote>
  <w:footnote w:type="continuationSeparator" w:id="0">
    <w:p w14:paraId="7E4E43F0" w14:textId="77777777" w:rsidR="00D0707D" w:rsidRDefault="00D07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22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E01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FCB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A09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3AFC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2EA3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07EAC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E4E3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7101E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300E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10D602C9"/>
    <w:multiLevelType w:val="multilevel"/>
    <w:tmpl w:val="085CEE22"/>
    <w:lvl w:ilvl="0">
      <w:start w:val="1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1"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D3B4FA6"/>
    <w:multiLevelType w:val="multilevel"/>
    <w:tmpl w:val="AB74F2B2"/>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A9545E"/>
    <w:multiLevelType w:val="multilevel"/>
    <w:tmpl w:val="D690D51E"/>
    <w:lvl w:ilvl="0">
      <w:start w:val="14"/>
      <w:numFmt w:val="decimal"/>
      <w:lvlText w:val="%1"/>
      <w:lvlJc w:val="left"/>
      <w:pPr>
        <w:ind w:left="420" w:hanging="420"/>
      </w:pPr>
      <w:rPr>
        <w:rFonts w:hint="default"/>
      </w:rPr>
    </w:lvl>
    <w:lvl w:ilvl="1">
      <w:start w:val="4"/>
      <w:numFmt w:val="decimal"/>
      <w:lvlText w:val="%1.%2"/>
      <w:lvlJc w:val="left"/>
      <w:pPr>
        <w:ind w:left="1130" w:hanging="420"/>
      </w:pPr>
      <w:rPr>
        <w:rFonts w:hint="default"/>
      </w:rPr>
    </w:lvl>
    <w:lvl w:ilvl="2">
      <w:start w:val="1"/>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20"/>
  </w:num>
  <w:num w:numId="4">
    <w:abstractNumId w:val="31"/>
  </w:num>
  <w:num w:numId="5">
    <w:abstractNumId w:val="19"/>
  </w:num>
  <w:num w:numId="6">
    <w:abstractNumId w:val="28"/>
  </w:num>
  <w:num w:numId="7">
    <w:abstractNumId w:val="24"/>
  </w:num>
  <w:num w:numId="8">
    <w:abstractNumId w:val="25"/>
  </w:num>
  <w:num w:numId="9">
    <w:abstractNumId w:val="29"/>
  </w:num>
  <w:num w:numId="10">
    <w:abstractNumId w:val="12"/>
  </w:num>
  <w:num w:numId="11">
    <w:abstractNumId w:val="26"/>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23"/>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3"/>
  </w:num>
  <w:num w:numId="27">
    <w:abstractNumId w:val="16"/>
  </w:num>
  <w:num w:numId="28">
    <w:abstractNumId w:val="30"/>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2"/>
  </w:num>
  <w:num w:numId="34">
    <w:abstractNumId w:val="11"/>
  </w:num>
  <w:num w:numId="35">
    <w:abstractNumId w:val="34"/>
  </w:num>
  <w:num w:numId="36">
    <w:abstractNumId w:val="17"/>
  </w:num>
  <w:num w:numId="37">
    <w:abstractNumId w:val="21"/>
    <w:lvlOverride w:ilvl="0">
      <w:startOverride w:val="12"/>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8"/>
  </w:num>
  <w:num w:numId="41">
    <w:abstractNumId w:val="21"/>
    <w:lvlOverride w:ilvl="0">
      <w:startOverride w:val="1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33EC"/>
    <w:rsid w:val="00034A29"/>
    <w:rsid w:val="00040957"/>
    <w:rsid w:val="00045830"/>
    <w:rsid w:val="00047D73"/>
    <w:rsid w:val="000528E5"/>
    <w:rsid w:val="00056433"/>
    <w:rsid w:val="00060414"/>
    <w:rsid w:val="00062853"/>
    <w:rsid w:val="00062C9B"/>
    <w:rsid w:val="00063CC2"/>
    <w:rsid w:val="0006537A"/>
    <w:rsid w:val="000670EC"/>
    <w:rsid w:val="000677A2"/>
    <w:rsid w:val="00070EA5"/>
    <w:rsid w:val="00073282"/>
    <w:rsid w:val="00076CBC"/>
    <w:rsid w:val="000779C7"/>
    <w:rsid w:val="00081098"/>
    <w:rsid w:val="00087EF2"/>
    <w:rsid w:val="00090F5D"/>
    <w:rsid w:val="00092759"/>
    <w:rsid w:val="00093CC3"/>
    <w:rsid w:val="00094321"/>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60BBD"/>
    <w:rsid w:val="00160DA4"/>
    <w:rsid w:val="0016584A"/>
    <w:rsid w:val="00170CE1"/>
    <w:rsid w:val="00174CAA"/>
    <w:rsid w:val="00177CD5"/>
    <w:rsid w:val="001817D2"/>
    <w:rsid w:val="00184086"/>
    <w:rsid w:val="001904A8"/>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A5649"/>
    <w:rsid w:val="002B015D"/>
    <w:rsid w:val="002C50DF"/>
    <w:rsid w:val="002C54C1"/>
    <w:rsid w:val="002C7035"/>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658A"/>
    <w:rsid w:val="00364141"/>
    <w:rsid w:val="00367EF6"/>
    <w:rsid w:val="00373F2A"/>
    <w:rsid w:val="003779A2"/>
    <w:rsid w:val="0038139C"/>
    <w:rsid w:val="00381D92"/>
    <w:rsid w:val="0038360C"/>
    <w:rsid w:val="00386157"/>
    <w:rsid w:val="00386ADE"/>
    <w:rsid w:val="00391E14"/>
    <w:rsid w:val="003959F6"/>
    <w:rsid w:val="003A73C1"/>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91452"/>
    <w:rsid w:val="0049465E"/>
    <w:rsid w:val="00494AE7"/>
    <w:rsid w:val="004A030A"/>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4883"/>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38F5"/>
    <w:rsid w:val="005E1321"/>
    <w:rsid w:val="005E2DD4"/>
    <w:rsid w:val="005E412D"/>
    <w:rsid w:val="005E4CDC"/>
    <w:rsid w:val="005E6D43"/>
    <w:rsid w:val="005F64F4"/>
    <w:rsid w:val="005F6F64"/>
    <w:rsid w:val="005F7B0A"/>
    <w:rsid w:val="00600604"/>
    <w:rsid w:val="006011C7"/>
    <w:rsid w:val="00601C20"/>
    <w:rsid w:val="00605C11"/>
    <w:rsid w:val="00606440"/>
    <w:rsid w:val="006078C2"/>
    <w:rsid w:val="00613DC5"/>
    <w:rsid w:val="006171A9"/>
    <w:rsid w:val="00623436"/>
    <w:rsid w:val="00625193"/>
    <w:rsid w:val="00640F39"/>
    <w:rsid w:val="00655AAF"/>
    <w:rsid w:val="00656A30"/>
    <w:rsid w:val="00662AC4"/>
    <w:rsid w:val="006673E7"/>
    <w:rsid w:val="00674964"/>
    <w:rsid w:val="00677455"/>
    <w:rsid w:val="00680B7E"/>
    <w:rsid w:val="00683B94"/>
    <w:rsid w:val="00686692"/>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5AA1"/>
    <w:rsid w:val="006F7BAF"/>
    <w:rsid w:val="00700CBD"/>
    <w:rsid w:val="0070207F"/>
    <w:rsid w:val="007028C7"/>
    <w:rsid w:val="00704462"/>
    <w:rsid w:val="00710C7E"/>
    <w:rsid w:val="00714E7C"/>
    <w:rsid w:val="007152C7"/>
    <w:rsid w:val="00723039"/>
    <w:rsid w:val="0073044F"/>
    <w:rsid w:val="00732294"/>
    <w:rsid w:val="00733DE0"/>
    <w:rsid w:val="007357C5"/>
    <w:rsid w:val="00736C27"/>
    <w:rsid w:val="0074032D"/>
    <w:rsid w:val="00740D25"/>
    <w:rsid w:val="00741328"/>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1738"/>
    <w:rsid w:val="008429CF"/>
    <w:rsid w:val="008446E2"/>
    <w:rsid w:val="008459A0"/>
    <w:rsid w:val="00847E19"/>
    <w:rsid w:val="00850CD3"/>
    <w:rsid w:val="0085112C"/>
    <w:rsid w:val="008559F1"/>
    <w:rsid w:val="00855E5A"/>
    <w:rsid w:val="008601A9"/>
    <w:rsid w:val="00865B0D"/>
    <w:rsid w:val="00871B33"/>
    <w:rsid w:val="00872949"/>
    <w:rsid w:val="008731C2"/>
    <w:rsid w:val="00876051"/>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0A4B"/>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218F"/>
    <w:rsid w:val="00B13262"/>
    <w:rsid w:val="00B14C20"/>
    <w:rsid w:val="00B14E3C"/>
    <w:rsid w:val="00B16238"/>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6ABB"/>
    <w:rsid w:val="00CE5CF2"/>
    <w:rsid w:val="00CF3372"/>
    <w:rsid w:val="00D00A5D"/>
    <w:rsid w:val="00D00A87"/>
    <w:rsid w:val="00D02F2F"/>
    <w:rsid w:val="00D0707D"/>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14B"/>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5D36"/>
    <w:rsid w:val="00EF66FC"/>
    <w:rsid w:val="00EF6C43"/>
    <w:rsid w:val="00EF7D88"/>
    <w:rsid w:val="00F00D14"/>
    <w:rsid w:val="00F0135B"/>
    <w:rsid w:val="00F02E73"/>
    <w:rsid w:val="00F10140"/>
    <w:rsid w:val="00F11BAF"/>
    <w:rsid w:val="00F11CE3"/>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9F7"/>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3583-6B98-4077-9C7C-B39895FE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F3DC9-EC09-4886-A5D4-E57726A4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39</TotalTime>
  <Pages>11</Pages>
  <Words>4820</Words>
  <Characters>26031</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Alexandre</cp:lastModifiedBy>
  <cp:revision>11</cp:revision>
  <cp:lastPrinted>2018-12-20T16:54:00Z</cp:lastPrinted>
  <dcterms:created xsi:type="dcterms:W3CDTF">2019-02-19T19:50:00Z</dcterms:created>
  <dcterms:modified xsi:type="dcterms:W3CDTF">2019-02-20T20:38:00Z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